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pStyle w:val="Style_2"/>
        <w:widowControl w:val="0"/>
        <w:tabs>
          <w:tab w:leader="none" w:pos="708" w:val="clear"/>
          <w:tab w:leader="none" w:pos="4111" w:val="left"/>
        </w:tabs>
        <w:spacing w:line="276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3000000">
      <w:pPr>
        <w:pStyle w:val="Style_2"/>
        <w:widowControl w:val="0"/>
        <w:spacing w:line="276" w:lineRule="auto"/>
        <w:ind w:firstLine="0" w:left="0"/>
        <w:rPr>
          <w:rFonts w:ascii="Times New Roman" w:hAnsi="Times New Roman"/>
          <w:sz w:val="20"/>
        </w:rPr>
      </w:pPr>
    </w:p>
    <w:p w14:paraId="04000000">
      <w:pPr>
        <w:pStyle w:val="Style_2"/>
        <w:keepNext w:val="1"/>
        <w:numPr>
          <w:ilvl w:val="0"/>
          <w:numId w:val="0"/>
        </w:numPr>
        <w:tabs>
          <w:tab w:leader="none" w:pos="0" w:val="left"/>
          <w:tab w:leader="none" w:pos="708" w:val="clear"/>
        </w:tabs>
        <w:spacing w:line="276" w:lineRule="auto"/>
        <w:ind w:firstLine="0" w:left="0"/>
        <w:jc w:val="center"/>
        <w:outlineLvl w:val="0"/>
        <w:rPr>
          <w:rFonts w:ascii="Times New Roman" w:hAnsi="Times New Roman"/>
          <w:b w:val="1"/>
          <w:spacing w:val="20"/>
          <w:sz w:val="28"/>
        </w:rPr>
      </w:pPr>
      <w:r>
        <w:rPr>
          <w:rFonts w:ascii="Times New Roman" w:hAnsi="Times New Roman"/>
          <w:b w:val="1"/>
          <w:spacing w:val="20"/>
          <w:sz w:val="28"/>
        </w:rPr>
        <w:t>ПРАВИТЕЛЬСТВО РОССИЙСКОЙ ФЕДЕРАЦИИ</w:t>
      </w:r>
    </w:p>
    <w:p w14:paraId="05000000">
      <w:pPr>
        <w:pStyle w:val="Style_2"/>
        <w:keepNext w:val="1"/>
        <w:numPr>
          <w:ilvl w:val="0"/>
          <w:numId w:val="0"/>
        </w:numPr>
        <w:tabs>
          <w:tab w:leader="none" w:pos="0" w:val="left"/>
          <w:tab w:leader="none" w:pos="708" w:val="clear"/>
        </w:tabs>
        <w:spacing w:line="276" w:lineRule="auto"/>
        <w:ind w:firstLine="0" w:left="0"/>
        <w:jc w:val="center"/>
        <w:outlineLvl w:val="1"/>
        <w:rPr>
          <w:rFonts w:ascii="Times New Roman" w:hAnsi="Times New Roman"/>
          <w:spacing w:val="20"/>
          <w:sz w:val="28"/>
        </w:rPr>
      </w:pPr>
    </w:p>
    <w:p w14:paraId="06000000">
      <w:pPr>
        <w:pStyle w:val="Style_2"/>
        <w:keepNext w:val="1"/>
        <w:numPr>
          <w:ilvl w:val="0"/>
          <w:numId w:val="0"/>
        </w:numPr>
        <w:tabs>
          <w:tab w:leader="none" w:pos="0" w:val="left"/>
          <w:tab w:leader="none" w:pos="708" w:val="clear"/>
        </w:tabs>
        <w:spacing w:after="480" w:before="0" w:line="276" w:lineRule="auto"/>
        <w:ind w:firstLine="0" w:left="0"/>
        <w:jc w:val="center"/>
        <w:outlineLvl w:val="1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ПОСТАНОВЛЕНИЕ</w:t>
      </w:r>
    </w:p>
    <w:p w14:paraId="07000000">
      <w:pPr>
        <w:pStyle w:val="Style_2"/>
        <w:keepNext w:val="1"/>
        <w:numPr>
          <w:ilvl w:val="0"/>
          <w:numId w:val="0"/>
        </w:numPr>
        <w:tabs>
          <w:tab w:leader="none" w:pos="0" w:val="left"/>
          <w:tab w:leader="none" w:pos="708" w:val="clear"/>
        </w:tabs>
        <w:spacing w:after="480" w:before="0" w:line="276" w:lineRule="auto"/>
        <w:ind w:firstLine="0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«______» ____________________г. № ________</w:t>
      </w:r>
    </w:p>
    <w:p w14:paraId="08000000">
      <w:pPr>
        <w:pStyle w:val="Style_2"/>
        <w:widowControl w:val="0"/>
        <w:tabs>
          <w:tab w:leader="none" w:pos="0" w:val="left"/>
          <w:tab w:leader="none" w:pos="708" w:val="clear"/>
        </w:tabs>
        <w:spacing w:after="480" w:before="0" w:line="276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</w:t>
      </w:r>
    </w:p>
    <w:p w14:paraId="09000000">
      <w:pPr>
        <w:pStyle w:val="Style_2"/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pacing w:val="1"/>
          <w:sz w:val="28"/>
        </w:rPr>
      </w:pPr>
    </w:p>
    <w:p w14:paraId="0A000000">
      <w:pPr>
        <w:pStyle w:val="Style_2"/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pacing w:val="1"/>
          <w:sz w:val="28"/>
        </w:rPr>
      </w:pPr>
    </w:p>
    <w:p w14:paraId="0B000000">
      <w:pPr>
        <w:pStyle w:val="Style_2"/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pacing w:val="1"/>
          <w:sz w:val="28"/>
        </w:rPr>
      </w:pPr>
    </w:p>
    <w:p w14:paraId="0C000000">
      <w:pPr>
        <w:pStyle w:val="Style_2"/>
        <w:spacing w:after="720" w:before="0"/>
        <w:ind w:firstLine="0" w:left="0"/>
        <w:jc w:val="center"/>
        <w:rPr>
          <w:rFonts w:ascii="Times New Roman" w:hAnsi="Times New Roman"/>
          <w:b w:val="1"/>
          <w:color w:val="000000"/>
          <w:spacing w:val="1"/>
          <w:sz w:val="28"/>
        </w:rPr>
      </w:pPr>
      <w:r>
        <w:rPr>
          <w:rFonts w:ascii="Times New Roman" w:hAnsi="Times New Roman"/>
          <w:b w:val="1"/>
          <w:color w:val="000000"/>
          <w:spacing w:val="1"/>
          <w:sz w:val="28"/>
        </w:rPr>
        <w:t>О внесении изменений</w:t>
      </w:r>
      <w:r>
        <w:rPr>
          <w:rFonts w:ascii="Times New Roman" w:hAnsi="Times New Roman"/>
          <w:b w:val="1"/>
          <w:color w:val="000000"/>
          <w:spacing w:val="1"/>
          <w:sz w:val="28"/>
        </w:rPr>
        <w:br/>
      </w:r>
      <w:r>
        <w:rPr>
          <w:rFonts w:ascii="Times New Roman" w:hAnsi="Times New Roman"/>
          <w:b w:val="1"/>
          <w:color w:val="000000"/>
          <w:spacing w:val="1"/>
          <w:sz w:val="28"/>
        </w:rPr>
        <w:t>в Правила проведения технического осмотра</w:t>
      </w:r>
      <w:r>
        <w:rPr>
          <w:rFonts w:ascii="Times New Roman" w:hAnsi="Times New Roman"/>
          <w:b w:val="1"/>
          <w:color w:val="000000"/>
          <w:spacing w:val="1"/>
          <w:sz w:val="28"/>
        </w:rPr>
        <w:br/>
      </w:r>
      <w:r>
        <w:rPr>
          <w:rFonts w:ascii="Times New Roman" w:hAnsi="Times New Roman"/>
          <w:b w:val="1"/>
          <w:color w:val="000000"/>
          <w:spacing w:val="1"/>
          <w:sz w:val="28"/>
        </w:rPr>
        <w:t>транспортных средств</w:t>
      </w:r>
    </w:p>
    <w:p w14:paraId="0D000000">
      <w:pPr>
        <w:pStyle w:val="Style_2"/>
        <w:spacing w:after="720" w:before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>Правительство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 о с т а н о в л я е т :</w:t>
      </w:r>
    </w:p>
    <w:p w14:paraId="0E000000">
      <w:pPr>
        <w:pStyle w:val="Style_2"/>
        <w:spacing w:line="360" w:lineRule="auto"/>
        <w:ind/>
        <w:jc w:val="both"/>
      </w:pPr>
      <w:r>
        <w:rPr>
          <w:rFonts w:ascii="Times New Roman" w:hAnsi="Times New Roman"/>
          <w:color w:val="000000"/>
          <w:spacing w:val="2"/>
          <w:sz w:val="28"/>
        </w:rPr>
        <w:t>1. Утвердить прилагаемые изменения, которые вносятся в Правила проведения технического осмотра транспортных средств, утвержденные постановлением Правительства Российской Федерации</w:t>
      </w:r>
      <w:r>
        <w:rPr>
          <w:rFonts w:ascii="Times New Roman" w:hAnsi="Times New Roman"/>
          <w:color w:val="000000"/>
          <w:spacing w:val="2"/>
          <w:sz w:val="28"/>
        </w:rPr>
        <w:br/>
      </w:r>
      <w:r>
        <w:rPr>
          <w:rFonts w:ascii="Times New Roman" w:hAnsi="Times New Roman"/>
          <w:color w:val="000000"/>
          <w:spacing w:val="2"/>
          <w:sz w:val="28"/>
        </w:rPr>
        <w:t>от 5 декабря 2011 г. № 1008 «О проведении технического осмотра транспортных средств» (Собрание законодательства Российской Федерации, 2011, № 50, ст. 7397; 2012, № 49, ст. 6881; 2015, № 24,</w:t>
      </w:r>
      <w:r>
        <w:rPr>
          <w:rFonts w:ascii="Times New Roman" w:hAnsi="Times New Roman"/>
          <w:color w:val="000000"/>
          <w:spacing w:val="2"/>
          <w:sz w:val="28"/>
        </w:rPr>
        <w:br/>
      </w:r>
      <w:r>
        <w:rPr>
          <w:rFonts w:ascii="Times New Roman" w:hAnsi="Times New Roman"/>
          <w:color w:val="000000"/>
          <w:spacing w:val="2"/>
          <w:sz w:val="28"/>
        </w:rPr>
        <w:t xml:space="preserve">ст. 3478; № 46, ст. 6383; 2018, № 8 ст. 1219). </w:t>
      </w:r>
    </w:p>
    <w:p w14:paraId="0F000000">
      <w:pPr>
        <w:pStyle w:val="Style_2"/>
        <w:spacing w:line="360" w:lineRule="auto"/>
        <w:ind/>
        <w:jc w:val="both"/>
      </w:pPr>
      <w:r>
        <w:rPr>
          <w:rFonts w:ascii="Times New Roman" w:hAnsi="Times New Roman"/>
          <w:color w:val="000000"/>
          <w:spacing w:val="2"/>
          <w:sz w:val="28"/>
        </w:rPr>
        <w:t>2. Установить, что указанные изменения вступают в силу</w:t>
      </w:r>
      <w:r>
        <w:rPr>
          <w:rFonts w:ascii="Times New Roman" w:hAnsi="Times New Roman"/>
          <w:color w:val="000000"/>
          <w:spacing w:val="2"/>
          <w:sz w:val="28"/>
        </w:rPr>
        <w:br/>
      </w:r>
      <w:r>
        <w:rPr>
          <w:rFonts w:ascii="Times New Roman" w:hAnsi="Times New Roman"/>
          <w:color w:val="000000"/>
          <w:spacing w:val="2"/>
          <w:sz w:val="28"/>
        </w:rPr>
        <w:t>8 июня 2020 г.</w:t>
      </w:r>
    </w:p>
    <w:p w14:paraId="10000000">
      <w:pPr>
        <w:pStyle w:val="Style_2"/>
        <w:spacing w:line="360" w:lineRule="auto"/>
        <w:ind/>
        <w:jc w:val="both"/>
        <w:rPr>
          <w:rFonts w:ascii="Times New Roman" w:hAnsi="Times New Roman"/>
          <w:color w:val="000000"/>
          <w:spacing w:val="2"/>
          <w:sz w:val="28"/>
        </w:rPr>
      </w:pPr>
    </w:p>
    <w:p w14:paraId="11000000">
      <w:pPr>
        <w:pStyle w:val="Style_2"/>
        <w:spacing w:line="360" w:lineRule="auto"/>
        <w:ind/>
        <w:jc w:val="both"/>
        <w:rPr>
          <w:rFonts w:ascii="Times New Roman" w:hAnsi="Times New Roman"/>
          <w:color w:val="000000"/>
          <w:spacing w:val="2"/>
          <w:sz w:val="28"/>
        </w:rPr>
      </w:pPr>
    </w:p>
    <w:p w14:paraId="12000000">
      <w:pPr>
        <w:pStyle w:val="Style_2"/>
        <w:tabs>
          <w:tab w:leader="none" w:pos="708" w:val="clear"/>
          <w:tab w:leader="none" w:pos="1758" w:val="center"/>
        </w:tabs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Председатель Правительства</w:t>
      </w:r>
    </w:p>
    <w:p w14:paraId="13000000">
      <w:pPr>
        <w:pStyle w:val="Style_2"/>
        <w:tabs>
          <w:tab w:leader="none" w:pos="708" w:val="clear"/>
          <w:tab w:leader="none" w:pos="1758" w:val="center"/>
          <w:tab w:leader="none" w:pos="9072" w:val="right"/>
        </w:tabs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Российской Федерации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М.Мишустин</w:t>
      </w:r>
    </w:p>
    <w:p w14:paraId="14000000">
      <w:pPr>
        <w:sectPr>
          <w:type w:val="nextPage"/>
          <w:pgSz w:h="16838" w:w="11906"/>
          <w:pgMar w:bottom="1134" w:footer="0" w:gutter="0" w:header="0" w:left="1559" w:right="1276" w:top="1134"/>
          <w:pgNumType w:fmt="decimal" w:start="0"/>
        </w:sectPr>
      </w:pPr>
    </w:p>
    <w:p w14:paraId="15000000">
      <w:pPr>
        <w:pStyle w:val="Style_2"/>
        <w:spacing w:line="276" w:lineRule="auto"/>
        <w:ind w:firstLine="0" w:left="0" w:right="-49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507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1"/>
      </w:tblGrid>
      <w:tr>
        <w:tc>
          <w:tcPr>
            <w:tcW w:type="dxa" w:w="400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4"/>
              <w:spacing w:line="300" w:lineRule="atLeast"/>
              <w:ind/>
              <w:jc w:val="center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УТВЕРЖДЕНЫ</w:t>
            </w:r>
          </w:p>
        </w:tc>
      </w:tr>
      <w:tr>
        <w:tc>
          <w:tcPr>
            <w:tcW w:type="dxa" w:w="400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4"/>
              <w:spacing w:line="300" w:lineRule="atLeast"/>
              <w:ind/>
              <w:jc w:val="center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постановлением Правительства</w:t>
            </w:r>
          </w:p>
        </w:tc>
      </w:tr>
      <w:tr>
        <w:tc>
          <w:tcPr>
            <w:tcW w:type="dxa" w:w="400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4"/>
              <w:spacing w:line="300" w:lineRule="atLeast"/>
              <w:ind/>
              <w:jc w:val="center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Российской Федерации</w:t>
            </w:r>
          </w:p>
        </w:tc>
      </w:tr>
      <w:tr>
        <w:tc>
          <w:tcPr>
            <w:tcW w:type="dxa" w:w="400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4"/>
              <w:spacing w:line="300" w:lineRule="atLeast"/>
              <w:ind/>
              <w:jc w:val="center"/>
              <w:rPr>
                <w:rFonts w:ascii="Times New Roman" w:hAnsi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</w:rPr>
              <w:t>от __________ № ___</w:t>
            </w:r>
          </w:p>
        </w:tc>
      </w:tr>
      <w:tr>
        <w:tc>
          <w:tcPr>
            <w:tcW w:type="dxa" w:w="400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2"/>
              <w:tabs>
                <w:tab w:leader="none" w:pos="708" w:val="clear"/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300" w:lineRule="atLeast"/>
              <w:ind/>
              <w:jc w:val="center"/>
              <w:rPr>
                <w:rFonts w:ascii="Times New Roman" w:hAnsi="Times New Roman"/>
                <w:b w:val="1"/>
                <w:color w:val="111111"/>
                <w:sz w:val="28"/>
              </w:rPr>
            </w:pPr>
          </w:p>
        </w:tc>
      </w:tr>
    </w:tbl>
    <w:p w14:paraId="1B000000">
      <w:pPr>
        <w:pStyle w:val="Style_2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3932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rPr>
          <w:rFonts w:ascii="Times New Roman" w:hAnsi="Times New Roman"/>
          <w:b w:val="1"/>
          <w:color w:val="111111"/>
          <w:sz w:val="28"/>
        </w:rPr>
      </w:pPr>
    </w:p>
    <w:p w14:paraId="1C000000">
      <w:pPr>
        <w:pStyle w:val="Style_2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3932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rPr>
          <w:rFonts w:ascii="Times New Roman" w:hAnsi="Times New Roman"/>
          <w:b w:val="1"/>
          <w:color w:val="111111"/>
          <w:sz w:val="28"/>
        </w:rPr>
      </w:pPr>
    </w:p>
    <w:p w14:paraId="1D000000">
      <w:pPr>
        <w:pStyle w:val="Style_2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З М Е Н Е Н И Я,</w:t>
      </w:r>
    </w:p>
    <w:p w14:paraId="1E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которые вносятся в Правила проведения технического</w:t>
      </w:r>
    </w:p>
    <w:p w14:paraId="1F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осмотра транспортных средств</w:t>
      </w:r>
    </w:p>
    <w:p w14:paraId="20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Пункт 1 после слов «связанным с проведением технического осмотра» дополнить словами «транспортных средств категорий М2 и М3, учет которых осуществляется в Государственной инспекции безопасности дорожного движения Министерства внутренних дел Российской Федерации,».</w:t>
      </w:r>
    </w:p>
    <w:p w14:paraId="2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Пункт 4 дополнить абзацем следующего содержания:</w:t>
      </w:r>
    </w:p>
    <w:p w14:paraId="2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 внесении изменений в конструкцию транспортного средства эти изменения подтверждаются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с внесенными в конструкцию изменениями, выданных в соответствии с Правилами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«О безопасности колесных транспортных средств»</w:t>
      </w:r>
      <w:r>
        <w:rPr>
          <w:rFonts w:ascii="Times New Roman" w:hAnsi="Times New Roman"/>
          <w:sz w:val="28"/>
          <w:vertAlign w:val="superscript"/>
        </w:rPr>
        <w:t>*</w:t>
      </w:r>
      <w:r>
        <w:rPr>
          <w:rFonts w:ascii="Times New Roman" w:hAnsi="Times New Roman"/>
          <w:sz w:val="28"/>
        </w:rPr>
        <w:t>, для последующего подтверждения соответствия представленного на технический осмотр транспортного средства обязательным требованиям безопасности при проведении процедуры внесению в его конструкцию изменений.».</w:t>
      </w:r>
    </w:p>
    <w:p w14:paraId="2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Дополнить сноской </w:t>
      </w:r>
      <w:r>
        <w:rPr>
          <w:rFonts w:ascii="Times New Roman" w:hAnsi="Times New Roman"/>
          <w:sz w:val="28"/>
          <w:vertAlign w:val="superscript"/>
        </w:rPr>
        <w:t>*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25000000">
      <w:pPr>
        <w:pStyle w:val="Style_2"/>
        <w:ind w:firstLine="0" w:left="0"/>
        <w:jc w:val="both"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vertAlign w:val="superscript"/>
        </w:rPr>
        <w:t>*</w:t>
      </w:r>
      <w:r>
        <w:rPr>
          <w:rFonts w:ascii="Times New Roman" w:hAnsi="Times New Roman"/>
          <w:sz w:val="28"/>
        </w:rPr>
        <w:t>Утверждены постановлением Правительства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6 апреля 2019 г. № 413 (</w:t>
      </w:r>
      <w:r>
        <w:rPr>
          <w:rFonts w:ascii="Times New Roman" w:hAnsi="Times New Roman"/>
          <w:sz w:val="28"/>
        </w:rPr>
        <w:t>Собрание законодательства Российской Федерации, 2019, № 15, ст. 1779</w:t>
      </w:r>
      <w:r>
        <w:rPr>
          <w:rFonts w:ascii="Times New Roman" w:hAnsi="Times New Roman"/>
          <w:sz w:val="28"/>
        </w:rPr>
        <w:t>)».</w:t>
      </w:r>
    </w:p>
    <w:p w14:paraId="2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Пункт 5 изложить в следующей редакции:</w:t>
      </w:r>
    </w:p>
    <w:p w14:paraId="2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 Технический осмотр проводится операторами технического осмотра, аккредитованными в установленном порядке для проведения технического осмотра в области аккредитации, соответствующей категориям транспортных средств, предусмотренным приложениями № 1 и 2 (далее – операторы технического осмотра).».</w:t>
      </w:r>
    </w:p>
    <w:p w14:paraId="2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Пункт 8 изложить в следующей редакции:</w:t>
      </w:r>
    </w:p>
    <w:p w14:paraId="29000000">
      <w:pPr>
        <w:pStyle w:val="Style_2"/>
        <w:ind/>
        <w:jc w:val="both"/>
      </w:pPr>
      <w:r>
        <w:rPr>
          <w:rFonts w:ascii="Times New Roman" w:hAnsi="Times New Roman"/>
          <w:sz w:val="28"/>
        </w:rPr>
        <w:t>«8. Операторы технического осмотра обеспечивают размещение в сети Интернет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текста Федерального закона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техническом осмотре транспортных средств и о внесении изменений в отдельные законодательные акты Российской Федерации», настоящих Правил, информации справочного характера (в том числе адресов оператора технического осмотра, пунктов технического осмотра и мест работы передвижных диагностических линий (при их наличии), номеров телефонов, адреса электронной почты, адреса сайта оператора технического осмотра в сети Интернет), актуальной информации о режиме работы пунктов технического осмотра и передвижных диагностических линий (если имеются), информации о размерах платы за услуги по проведению технического осмотра, перечня документов, необходимых для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(если имеются), типовой формы договора о проведении технического осмотра, а также информации о возможности предварительной записи на технический осмотр.».</w:t>
      </w:r>
    </w:p>
    <w:p w14:paraId="2A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 пункте 9:</w:t>
      </w:r>
    </w:p>
    <w:p w14:paraId="2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слова «вне зависимости от места регистрации» заменить словами «или на любую передвижную диагностическую линию, использующуюся оператором технического осмотра,</w:t>
      </w:r>
      <w:r>
        <w:t xml:space="preserve"> </w:t>
      </w:r>
      <w:r>
        <w:rPr>
          <w:rFonts w:ascii="Times New Roman" w:hAnsi="Times New Roman"/>
          <w:sz w:val="28"/>
        </w:rPr>
        <w:t>с учетом особенностей проведения технического осмотра вне пунктов технического осмотра, установленных данными Правилами, вне зависимости от места государственной регистрации»;</w:t>
      </w:r>
    </w:p>
    <w:p w14:paraId="2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подпункте «а» слова «, и доверенность (для представителя владельца транспортного средства)» исключить;</w:t>
      </w:r>
    </w:p>
    <w:p w14:paraId="2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подпункте «б» после слов «паспорт транспортного средства» дополнить словами «(выписка из электронного паспорта транспортного средства)».</w:t>
      </w:r>
    </w:p>
    <w:p w14:paraId="2E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Пункт 10 изложить в следующей редакции:</w:t>
      </w:r>
    </w:p>
    <w:p w14:paraId="2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«10. В случае непредставления заявителем указанных в пункте 9 настоящих Правил документов, либо отказе от оплаты услуг по проведению технического осмотра оператор технического осмотра отказывает заявителю в оказании услуг по техническому осмотру.».</w:t>
      </w:r>
    </w:p>
    <w:p w14:paraId="3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Пункт 11 изложить в следующей редакции:</w:t>
      </w:r>
    </w:p>
    <w:p w14:paraId="31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«11. Оператор технического осмотра производит идентификацию номеров компонентов транспортного средства (кузова, рамы, кабины, шасси) и данных, указанных в документах, содержащих сведения, позволяющие идентифицировать транспортное средство.</w:t>
      </w:r>
    </w:p>
    <w:p w14:paraId="32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несоответствии номеров компонентов транспортного средства с данными, указанными в представленных документах, </w:t>
      </w:r>
      <w:r>
        <w:rPr>
          <w:rFonts w:ascii="Times New Roman" w:hAnsi="Times New Roman"/>
          <w:sz w:val="28"/>
        </w:rPr>
        <w:t>оператор технического осмотра отказывает заявителю в оказании услуг по техническому осмотру.</w:t>
      </w:r>
    </w:p>
    <w:p w14:paraId="33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отказе в оказании услуг по проведению технического осмотра по основанию несоответствия транспортного средства данным, указанным в документах, содержащих сведения, позволяющие идентифицировать это транспортное средство, вносится оператором технического осмотра в единую автоматизированную информационную систему технического осмотра с указанием</w:t>
      </w:r>
      <w:r>
        <w:rPr>
          <w:rFonts w:ascii="Times New Roman" w:hAnsi="Times New Roman"/>
          <w:sz w:val="28"/>
        </w:rPr>
        <w:t xml:space="preserve"> выявленных несоответствий.</w:t>
      </w:r>
    </w:p>
    <w:p w14:paraId="34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соответствия транспортного средства данным, указанным в представленных документах, это транспортное средство допускается к проведению технического диагностирования.</w:t>
      </w:r>
    </w:p>
    <w:p w14:paraId="3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  <w:r>
        <w:rPr>
          <w:rFonts w:ascii="Times New Roman" w:hAnsi="Times New Roman"/>
          <w:sz w:val="28"/>
        </w:rPr>
        <w:t>».</w:t>
      </w:r>
    </w:p>
    <w:p w14:paraId="3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Пункт 12 изложить в следующей редакции:</w:t>
      </w:r>
    </w:p>
    <w:p w14:paraId="3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«12. Техническое диагностирование проводится техническим экспертом, являющимся работником оператора технического осмотра или физическим лицом, зарегистрированным в качестве индивидуального предпринимателя, имеющего одну диагностическую линию, отвечающим квалификационным требованиям, установленным Министерством промышленности и торговли Российской Федерации, в соответствии со сведениями, размещенными в реестре операторов технического осмотра.».</w:t>
      </w:r>
    </w:p>
    <w:p w14:paraId="3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Пункт 13 изложить в следующей редакции:</w:t>
      </w:r>
    </w:p>
    <w:p w14:paraId="3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«13. Техническое диагностирование проводится с помощью средств технического диагностирования, в том числе передвижных средств,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осмотра, в соответствии с требованиями к производственно-технической базе, перечня документов в области стандартизации, к фотографическому изображению транспортного средства и к точности определения координат места проведения технического диагностирования.».</w:t>
      </w:r>
    </w:p>
    <w:p w14:paraId="3A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Пункт 15 изложить в следующей редакции:</w:t>
      </w:r>
    </w:p>
    <w:p w14:paraId="3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«15. По результатам технического диагностирования технический эксперт осуществляет оформление диагностической карты в форме электронного документа в единой автоматизированной информационной системе технического осмотра и выдачу заявителю диагностической карты на бумажном носителе (по запросу заявителя) по форме согласно приложению № 3 к настоящим Правилам, содержащей 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допуск транспортного средства к участию в дорожном движении).</w:t>
      </w:r>
    </w:p>
    <w:p w14:paraId="3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заполнения диагностической карты утверждаются Министерством транспорта Российской Федерации.».</w:t>
      </w:r>
    </w:p>
    <w:p w14:paraId="3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Пункт 16 изложить в следующей редакции:</w:t>
      </w:r>
    </w:p>
    <w:p w14:paraId="3E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«16. 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допуска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статьей 18 Федерального закона «О техническом осмотре транспортных средств и о внесении изменений в отдельные законодательные акты Российской Федерации».».</w:t>
      </w:r>
    </w:p>
    <w:p w14:paraId="3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Дополнить пунктом 17 следующего содержания:</w:t>
      </w:r>
    </w:p>
    <w:p w14:paraId="4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«17. Оформленной в единой автоматизированной информационной системе технического осмотра диагностической карте присваивается регистрационный номер.».</w:t>
      </w:r>
    </w:p>
    <w:p w14:paraId="4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Дополнить главой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2000000">
      <w:pPr>
        <w:pStyle w:val="Style_2"/>
        <w:ind/>
        <w:jc w:val="both"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>. Особенности проведения технического осмотра вне пунктов технического осмотра с использованием передвижных диагностических линий</w:t>
      </w:r>
    </w:p>
    <w:p w14:paraId="4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Использование передвижных диагностических линий аккредитованными операторами технического осмотра производится в целях обеспечения гарантий прав владельцев транспортных средств на проведение технического осмотра на территориях субъектов Российской Федерации.</w:t>
      </w:r>
    </w:p>
    <w:p w14:paraId="4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Оператор технического осмотра проводит технический осмотр транспортных средств с использованием передвижных диагностических линий в границах субъекта Российской Федерации, в котором расположен пункт технического осмотра оператора технического осмотра-владельца передвижной диагностической линии в соответствии с данными реестра аккредитованных операторов технического осмотра.</w:t>
      </w:r>
    </w:p>
    <w:p w14:paraId="4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Основанием для организации проведения технического осмотра с использованием передвижных диагностических линий вне пунктов технического осмотра является необходимость выполнения требований минимальных нормативов обеспеченности населения пунктами технического осмотра, утвержденных уполномоченным органом исполнительной власти субъектов Российской Федерации, в соответствии с методикой расчета указанных нормативов, установленной Правительством Российской Федерации.</w:t>
      </w:r>
    </w:p>
    <w:p w14:paraId="4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Адрес места работы (в том числе координаты) передвижной диагностической линии вне пункта технического осмотра в муниципальных образованиях субъекта Российской Федерации, в которых не соблюдаются минимальные нормативы обеспеченности населения пунктами технического осмотра, согласовываются оператором технического осмотра с высшим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осмотра.</w:t>
      </w:r>
    </w:p>
    <w:p w14:paraId="47000000">
      <w:pPr>
        <w:pStyle w:val="Style_2"/>
        <w:ind/>
        <w:jc w:val="both"/>
      </w:pPr>
      <w:r>
        <w:rPr>
          <w:rFonts w:ascii="Times New Roman" w:hAnsi="Times New Roman"/>
          <w:sz w:val="28"/>
        </w:rPr>
        <w:t>19. График работы пункта технического осмотра, использующего передвижную диагностическую линию вне пункта технического осмотра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(с учетом климатических условий эксплуатации, установленных заводом-изготовителем передвижных диагностических линий), согласовывается с исполнительным органом государственной власти субъекта Российской Федерации, уполномоченным на принятие мер по организации технического осмотра в регионе.».</w:t>
      </w:r>
    </w:p>
    <w:p w14:paraId="4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Дополнить главой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>. Порядок аннулирование диагностической карты</w:t>
      </w:r>
    </w:p>
    <w:p w14:paraId="4A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При выявлении обстоятельств, указанных в пункте 10 статьи 19 Федерального закона «О техническом осмотре транспортных средств и о внесении изменений в отдельные законодательные акты Российской Федерации», должностным лицом уполномоченного органа государственного контроля (надзора) за организацией и проведением технического осмотра транспортных средств по решению руководителя (его заместителей) данного органа осуществляется аннулирование диагностической карты путем внесения соответствующих сведений в Единую автоматизированную информационную систему технического осмотра после решения вопроса о привлечении к административной ответственности за оформление этой диагностической карты, подтверждающей допуск к участию в дорожном движении транспортного средства,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</w:t>
      </w:r>
      <w:r>
        <w:t xml:space="preserve"> </w:t>
      </w:r>
      <w:r>
        <w:rPr>
          <w:rFonts w:ascii="Times New Roman" w:hAnsi="Times New Roman"/>
          <w:sz w:val="28"/>
        </w:rPr>
        <w:t>требованиям безопасности транспортных средств и оформления данной диагностической карты.</w:t>
      </w:r>
    </w:p>
    <w:p w14:paraId="4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Об аннулировании диагностической карты указанное в пункте 23 настоящих Правил должностное лицо информирует страховщика, заключившего договор обязательного страхования гражданской ответственности владельцев транспортных средств на основании данной диагностической карты, </w:t>
      </w:r>
      <w:r>
        <w:rPr>
          <w:rFonts w:ascii="Times New Roman" w:hAnsi="Times New Roman"/>
          <w:sz w:val="28"/>
        </w:rPr>
        <w:t>с использованием единой системы межведомственного электронного взаимодействия.</w:t>
      </w:r>
      <w:r>
        <w:rPr>
          <w:rFonts w:ascii="Times New Roman" w:hAnsi="Times New Roman"/>
          <w:sz w:val="28"/>
        </w:rPr>
        <w:t>».</w:t>
      </w:r>
    </w:p>
    <w:p w14:paraId="4C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</w:t>
      </w:r>
      <w:r>
        <w:rPr>
          <w:rFonts w:ascii="Times New Roman" w:hAnsi="Times New Roman"/>
          <w:sz w:val="28"/>
        </w:rPr>
        <w:t>В приложении № 1 к Правилам</w:t>
      </w:r>
      <w:r>
        <w:rPr>
          <w:rFonts w:ascii="Times New Roman" w:hAnsi="Times New Roman"/>
          <w:sz w:val="28"/>
        </w:rPr>
        <w:t xml:space="preserve"> проведения технического осмотра транспортных средств:</w:t>
      </w:r>
    </w:p>
    <w:p w14:paraId="4D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1) в пункте 18 слова «таблицы 6а ГОСТ Р 51709-2001»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заменить словами «пунктов 3.1-3.5, а также таблицы 3.1 приложения № 8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ТР ТС 018/2011»;</w:t>
      </w:r>
    </w:p>
    <w:p w14:paraId="4E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пункт 36 дополнить предложением следующего содержания:</w:t>
      </w:r>
    </w:p>
    <w:p w14:paraId="4F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>«Механические повреждения газовых баллонов не</w:t>
      </w:r>
      <w:r>
        <w:rPr>
          <w:rStyle w:val="Style_8_ch"/>
          <w:sz w:val="28"/>
        </w:rPr>
        <w:t xml:space="preserve"> </w:t>
      </w:r>
      <w:r>
        <w:rPr>
          <w:rStyle w:val="Style_8_ch"/>
          <w:b w:val="0"/>
          <w:sz w:val="28"/>
        </w:rPr>
        <w:t>допускаются»;</w:t>
      </w:r>
    </w:p>
    <w:p w14:paraId="50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>3) в позиции 55 слова «Транспортные средства должны быть оснащены ремнями безопасности.» заменить словами «Места для сидения в транспортных средствах, конструкция 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момент выпуска транспортного средства в обращение.»;</w:t>
      </w:r>
    </w:p>
    <w:p w14:paraId="51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>4) в позиции 83:</w:t>
      </w:r>
    </w:p>
    <w:p w14:paraId="52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>после слов «выводить на печать информацию о регистрационных данных транспортного средства (идентификационный номер, государственный регистрац</w:t>
      </w:r>
      <w:bookmarkStart w:id="1" w:name="_GoBack"/>
      <w:bookmarkEnd w:id="1"/>
      <w:r>
        <w:rPr>
          <w:rStyle w:val="Style_8_ch"/>
          <w:b w:val="0"/>
          <w:sz w:val="28"/>
        </w:rPr>
        <w:t>ионный номер» дополнить словами «, при их наличии»;</w:t>
      </w:r>
    </w:p>
    <w:p w14:paraId="53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 xml:space="preserve">третье предложение изложить в следующей редакции «Контрольное устройство (тахограф) должно быть проверено, в том числе </w:t>
      </w:r>
      <w:r>
        <w:rPr>
          <w:rStyle w:val="Style_8_ch"/>
          <w:b w:val="0"/>
          <w:color w:val="000000"/>
          <w:sz w:val="28"/>
        </w:rPr>
        <w:t xml:space="preserve">откалибровано, </w:t>
      </w:r>
      <w:r>
        <w:rPr>
          <w:rStyle w:val="Style_8_ch"/>
          <w:b w:val="0"/>
          <w:sz w:val="28"/>
        </w:rPr>
        <w:t>в соответствии с требованиями ЕСТР, не позднее 2 лет до дня предоставления транспортного средства на очередной технический осмотр, иметь знак официального утверждения типа.»;</w:t>
      </w:r>
    </w:p>
    <w:p w14:paraId="54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>5) дополнить позицией 84 следующего содержания:</w:t>
      </w:r>
    </w:p>
    <w:tbl>
      <w:tblPr>
        <w:tblStyle w:val="Style_9"/>
        <w:tblInd w:type="dxa" w:w="-104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4590"/>
        <w:gridCol w:w="585"/>
        <w:gridCol w:w="390"/>
        <w:gridCol w:w="405"/>
        <w:gridCol w:w="390"/>
        <w:gridCol w:w="405"/>
        <w:gridCol w:w="390"/>
        <w:gridCol w:w="390"/>
        <w:gridCol w:w="375"/>
        <w:gridCol w:w="480"/>
      </w:tblGrid>
      <w:tr>
        <w:tc>
          <w:tcPr>
            <w:tcW w:type="dxa" w:w="6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spacing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56000000">
            <w:pPr>
              <w:pStyle w:val="Style_2"/>
              <w:spacing w:line="240" w:lineRule="atLeast"/>
              <w:ind w:firstLine="0" w:left="0"/>
            </w:pPr>
            <w:r>
              <w:rPr>
                <w:rFonts w:ascii="Times New Roman" w:hAnsi="Times New Roman"/>
                <w:sz w:val="24"/>
              </w:rPr>
              <w:t>«84.</w:t>
            </w:r>
          </w:p>
        </w:tc>
        <w:tc>
          <w:tcPr>
            <w:tcW w:type="dxa" w:w="45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spacing w:line="240" w:lineRule="atLeast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 утечки не должен превышать 3 мА (для электромобилей и гибридных транспортных средств)</w:t>
            </w:r>
          </w:p>
        </w:tc>
        <w:tc>
          <w:tcPr>
            <w:tcW w:type="dxa" w:w="5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spacing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ХХ</w:t>
            </w:r>
          </w:p>
        </w:tc>
        <w:tc>
          <w:tcPr>
            <w:tcW w:type="dxa" w:w="3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spacing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ХХ</w:t>
            </w:r>
          </w:p>
        </w:tc>
        <w:tc>
          <w:tcPr>
            <w:tcW w:type="dxa" w:w="4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spacing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ХХ</w:t>
            </w:r>
          </w:p>
        </w:tc>
        <w:tc>
          <w:tcPr>
            <w:tcW w:type="dxa" w:w="3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spacing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ХХ</w:t>
            </w:r>
          </w:p>
        </w:tc>
        <w:tc>
          <w:tcPr>
            <w:tcW w:type="dxa" w:w="4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spacing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ХХ</w:t>
            </w:r>
          </w:p>
        </w:tc>
        <w:tc>
          <w:tcPr>
            <w:tcW w:type="dxa" w:w="3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spacing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ХХ</w:t>
            </w:r>
          </w:p>
        </w:tc>
        <w:tc>
          <w:tcPr>
            <w:tcW w:type="dxa" w:w="3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spacing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Х-</w:t>
            </w:r>
          </w:p>
        </w:tc>
        <w:tc>
          <w:tcPr>
            <w:tcW w:type="dxa" w:w="3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spacing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Х-</w:t>
            </w:r>
          </w:p>
        </w:tc>
        <w:tc>
          <w:tcPr>
            <w:tcW w:type="dxa" w:w="4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spacing w:line="240" w:lineRule="atLeast"/>
              <w:ind w:firstLine="709" w:left="-57"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ХХ»;</w:t>
            </w:r>
          </w:p>
        </w:tc>
      </w:tr>
    </w:tbl>
    <w:p w14:paraId="61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>6) в сноске 2 после слов «используемые на транспортных средствах других типов» добавить слова «, при условии соблюдения требований ТР ТС 018/2011»;</w:t>
      </w:r>
    </w:p>
    <w:p w14:paraId="62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b w:val="0"/>
          <w:sz w:val="28"/>
        </w:rPr>
      </w:pPr>
      <w:r>
        <w:rPr>
          <w:rStyle w:val="Style_8_ch"/>
          <w:b w:val="0"/>
          <w:sz w:val="28"/>
        </w:rPr>
        <w:t>7) в сноске 3 абзац второй исключить.</w:t>
      </w:r>
    </w:p>
    <w:p w14:paraId="63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b w:val="0"/>
          <w:sz w:val="28"/>
        </w:rPr>
        <w:t xml:space="preserve">15. В приложении № 2 к Правилам </w:t>
      </w:r>
      <w:r>
        <w:rPr>
          <w:rFonts w:ascii="Times New Roman" w:hAnsi="Times New Roman"/>
          <w:sz w:val="28"/>
        </w:rPr>
        <w:t>проведения технического осмотра транспортных средств наименование столбца «Продолжительность технического диагностирования» дополнить сноской «</w:t>
      </w:r>
      <w:r>
        <w:rPr>
          <w:rFonts w:ascii="Times New Roman" w:hAnsi="Times New Roman"/>
          <w:sz w:val="28"/>
          <w:vertAlign w:val="superscript"/>
        </w:rPr>
        <w:t>**</w:t>
      </w:r>
      <w:r>
        <w:rPr>
          <w:rFonts w:ascii="Times New Roman" w:hAnsi="Times New Roman"/>
          <w:sz w:val="28"/>
        </w:rPr>
        <w:t>» следующего содержания:</w:t>
      </w:r>
    </w:p>
    <w:p w14:paraId="64000000">
      <w:pPr>
        <w:pStyle w:val="Style_7"/>
        <w:tabs>
          <w:tab w:leader="none" w:pos="708" w:val="clear"/>
          <w:tab w:leader="none" w:pos="923" w:val="left"/>
        </w:tabs>
        <w:spacing w:after="0" w:before="0" w:line="240" w:lineRule="auto"/>
        <w:ind w:firstLine="709" w:left="0"/>
        <w:jc w:val="both"/>
        <w:rPr>
          <w:rStyle w:val="Style_8_ch"/>
          <w:sz w:val="28"/>
        </w:rPr>
      </w:pPr>
      <w:r>
        <w:rPr>
          <w:rStyle w:val="Style_8_ch"/>
          <w:b w:val="0"/>
          <w:sz w:val="28"/>
        </w:rPr>
        <w:t>«</w:t>
      </w:r>
      <w:r>
        <w:rPr>
          <w:rStyle w:val="Style_8_ch"/>
          <w:b w:val="0"/>
          <w:sz w:val="28"/>
          <w:vertAlign w:val="superscript"/>
        </w:rPr>
        <w:t>**</w:t>
      </w:r>
      <w:r>
        <w:rPr>
          <w:rStyle w:val="Style_8_ch"/>
          <w:b w:val="0"/>
          <w:sz w:val="28"/>
        </w:rPr>
        <w:t>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одного или нескольких транспортных средств одновременно), при условии соблюдения Правил проведения технического осмотра транспортных средств.».</w:t>
      </w:r>
    </w:p>
    <w:p w14:paraId="6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В приложении № 3 к </w:t>
      </w:r>
      <w:r>
        <w:rPr>
          <w:rFonts w:ascii="Times New Roman" w:hAnsi="Times New Roman"/>
          <w:sz w:val="28"/>
        </w:rPr>
        <w:t>Правилам</w:t>
      </w:r>
      <w:r>
        <w:rPr>
          <w:rFonts w:ascii="Times New Roman" w:hAnsi="Times New Roman"/>
          <w:sz w:val="28"/>
        </w:rPr>
        <w:t xml:space="preserve"> проведения технического осмотра транспортных средств:</w:t>
      </w:r>
    </w:p>
    <w:p w14:paraId="6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после слов «Пункт технического осмотра» дополнить словами «(передвижная диагностическая линия)»;</w:t>
      </w:r>
    </w:p>
    <w:p w14:paraId="6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после графы «Пробег ТС:» дополнить графами следующего содержания:</w:t>
      </w:r>
    </w:p>
    <w:tbl>
      <w:tblPr>
        <w:tblStyle w:val="Style_3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9"/>
        <w:gridCol w:w="3813"/>
        <w:gridCol w:w="985"/>
      </w:tblGrid>
      <w:tr>
        <w:trPr>
          <w:trHeight w:hRule="atLeast" w:val="2110"/>
        </w:trPr>
        <w:tc>
          <w:tcPr>
            <w:tcW w:type="dxa" w:w="429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ind w:firstLine="0" w:left="0"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bookmarkStart w:id="2" w:name="__UnoMark__7975_18270214981"/>
            <w:bookmarkEnd w:id="2"/>
          </w:p>
        </w:tc>
        <w:tc>
          <w:tcPr>
            <w:tcW w:type="dxa" w:w="381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ind w:firstLine="0" w:left="0"/>
            </w:pPr>
            <w:bookmarkStart w:id="3" w:name="__UnoMark__7976_18270214981"/>
            <w:bookmarkEnd w:id="3"/>
            <w:r>
              <w:rPr>
                <w:rFonts w:ascii="Times New Roman" w:hAnsi="Times New Roman"/>
                <w:color w:val="000000"/>
                <w:sz w:val="24"/>
              </w:rPr>
              <w:t>Сведения по газобаллонному оборудованию (номер свидетельства о проведении периодических испытаний газобаллонного оборудования и дата его очередного освидетельствования):</w:t>
            </w:r>
            <w:bookmarkStart w:id="4" w:name="__UnoMark__10153_1827021498"/>
            <w:bookmarkEnd w:id="4"/>
          </w:p>
          <w:p w14:paraId="6A000000">
            <w:pPr>
              <w:pStyle w:val="Style_2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bookmarkStart w:id="5" w:name="__UnoMark__7977_18270214981"/>
            <w:bookmarkEnd w:id="5"/>
            <w:bookmarkStart w:id="6" w:name="__UnoMark__10155_1827021498"/>
            <w:bookmarkEnd w:id="6"/>
            <w:bookmarkStart w:id="7" w:name="__UnoMark__10154_1827021498"/>
            <w:bookmarkEnd w:id="7"/>
            <w:bookmarkStart w:id="8" w:name="__UnoMark__7977_18270214981"/>
            <w:bookmarkEnd w:id="8"/>
            <w:bookmarkStart w:id="9" w:name="__UnoMark__10155_1827021498"/>
            <w:bookmarkEnd w:id="9"/>
            <w:bookmarkStart w:id="10" w:name="__UnoMark__10154_1827021498"/>
            <w:bookmarkEnd w:id="10"/>
          </w:p>
        </w:tc>
        <w:tc>
          <w:tcPr>
            <w:tcW w:type="dxa" w:w="98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ind w:firstLine="0" w:left="0"/>
              <w:rPr>
                <w:rFonts w:ascii="Times New Roman" w:hAnsi="Times New Roman"/>
                <w:color w:val="000000"/>
                <w:sz w:val="24"/>
              </w:rPr>
            </w:pPr>
            <w:bookmarkStart w:id="11" w:name="__UnoMark__7979_18270214981"/>
            <w:bookmarkEnd w:id="11"/>
            <w:bookmarkStart w:id="12" w:name="__UnoMark__7978_18270214981"/>
            <w:bookmarkEnd w:id="12"/>
            <w:bookmarkStart w:id="13" w:name="__UnoMark__10158_1827021498"/>
            <w:bookmarkEnd w:id="13"/>
            <w:bookmarkStart w:id="14" w:name="__UnoMark__10157_1827021498"/>
            <w:bookmarkEnd w:id="14"/>
            <w:bookmarkStart w:id="15" w:name="__UnoMark__7979_18270214981"/>
            <w:bookmarkEnd w:id="15"/>
            <w:bookmarkStart w:id="16" w:name="__UnoMark__7978_18270214981"/>
            <w:bookmarkEnd w:id="16"/>
            <w:bookmarkStart w:id="17" w:name="__UnoMark__10158_1827021498"/>
            <w:bookmarkEnd w:id="17"/>
            <w:bookmarkStart w:id="18" w:name="__UnoMark__10157_1827021498"/>
            <w:bookmarkEnd w:id="18"/>
          </w:p>
        </w:tc>
      </w:tr>
      <w:tr>
        <w:trPr>
          <w:trHeight w:hRule="atLeast" w:val="1275"/>
        </w:trPr>
        <w:tc>
          <w:tcPr>
            <w:tcW w:type="dxa" w:w="429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1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ind w:firstLine="0" w:left="0"/>
            </w:pPr>
            <w:bookmarkStart w:id="19" w:name="__UnoMark__7982_18270214981"/>
            <w:bookmarkEnd w:id="19"/>
            <w:bookmarkStart w:id="20" w:name="__UnoMark__10165_1827021498"/>
            <w:bookmarkEnd w:id="20"/>
            <w:r>
              <w:rPr>
                <w:rFonts w:ascii="Times New Roman" w:hAnsi="Times New Roman"/>
                <w:color w:val="000000"/>
                <w:sz w:val="24"/>
              </w:rPr>
              <w:t>Сведения о газовом баллоне (газовых баллонах) (год выпуска, серийный номер, даты последнего и очередного освидетельствования каждого газового баллона):</w:t>
            </w:r>
            <w:bookmarkStart w:id="21" w:name="__UnoMark__7983_18270214981"/>
            <w:bookmarkEnd w:id="21"/>
            <w:bookmarkStart w:id="22" w:name="__UnoMark__10168_1827021498"/>
            <w:bookmarkEnd w:id="22"/>
            <w:bookmarkStart w:id="23" w:name="__UnoMark__10167_1827021498"/>
            <w:bookmarkEnd w:id="23"/>
          </w:p>
        </w:tc>
        <w:tc>
          <w:tcPr>
            <w:tcW w:type="dxa" w:w="98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ind w:firstLine="0" w:left="0"/>
              <w:rPr>
                <w:rFonts w:ascii="Times New Roman" w:hAnsi="Times New Roman"/>
                <w:color w:val="000000"/>
                <w:sz w:val="24"/>
              </w:rPr>
            </w:pPr>
            <w:bookmarkStart w:id="24" w:name="__UnoMark__7984_18270214981"/>
            <w:bookmarkEnd w:id="24"/>
            <w:bookmarkStart w:id="25" w:name="__UnoMark__10170_1827021498"/>
            <w:bookmarkEnd w:id="25"/>
            <w:bookmarkStart w:id="26" w:name="__UnoMark__7984_18270214981"/>
            <w:bookmarkEnd w:id="26"/>
            <w:bookmarkStart w:id="27" w:name="__UnoMark__10170_1827021498"/>
            <w:bookmarkEnd w:id="27"/>
          </w:p>
          <w:p w14:paraId="6E000000">
            <w:pPr>
              <w:pStyle w:val="Style_2"/>
              <w:ind w:firstLine="0" w:left="0"/>
              <w:rPr>
                <w:rFonts w:ascii="Times New Roman" w:hAnsi="Times New Roman"/>
                <w:color w:val="000000"/>
                <w:sz w:val="24"/>
              </w:rPr>
            </w:pPr>
          </w:p>
          <w:p w14:paraId="6F000000">
            <w:pPr>
              <w:pStyle w:val="Style_2"/>
              <w:ind w:firstLine="0" w:left="0"/>
              <w:rPr>
                <w:rFonts w:ascii="Times New Roman" w:hAnsi="Times New Roman"/>
                <w:color w:val="000000"/>
                <w:sz w:val="24"/>
              </w:rPr>
            </w:pPr>
          </w:p>
          <w:p w14:paraId="70000000">
            <w:pPr>
              <w:pStyle w:val="Style_2"/>
              <w:ind w:firstLine="0" w:left="0"/>
              <w:rPr>
                <w:rFonts w:ascii="Times New Roman" w:hAnsi="Times New Roman"/>
                <w:color w:val="000000"/>
                <w:sz w:val="24"/>
              </w:rPr>
            </w:pPr>
          </w:p>
          <w:p w14:paraId="71000000">
            <w:pPr>
              <w:pStyle w:val="Style_2"/>
              <w:ind w:firstLine="0" w:left="0"/>
            </w:pPr>
            <w:r>
              <w:rPr>
                <w:rFonts w:ascii="Times New Roman" w:hAnsi="Times New Roman"/>
                <w:color w:val="000000"/>
                <w:sz w:val="24"/>
              </w:rPr>
              <w:t>»;</w:t>
            </w:r>
          </w:p>
        </w:tc>
      </w:tr>
    </w:tbl>
    <w:p w14:paraId="72000000">
      <w:pPr>
        <w:pStyle w:val="Style_2"/>
        <w:ind/>
        <w:jc w:val="both"/>
        <w:rPr>
          <w:rFonts w:ascii="Times New Roman" w:hAnsi="Times New Roman"/>
          <w:color w:val="000000"/>
          <w:sz w:val="8"/>
        </w:rPr>
      </w:pPr>
    </w:p>
    <w:p w14:paraId="73000000">
      <w:pPr>
        <w:pStyle w:val="Style_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после поля «Дата: </w:t>
      </w:r>
      <w:r>
        <w:rPr>
          <w:rFonts w:ascii="Symbol" w:hAnsi="Symbol"/>
          <w:color w:val="000000"/>
          <w:sz w:val="28"/>
        </w:rPr>
        <w:t></w:t>
      </w:r>
      <w:r>
        <w:rPr>
          <w:rFonts w:ascii="Times New Roman" w:hAnsi="Times New Roman"/>
          <w:color w:val="000000"/>
          <w:sz w:val="28"/>
        </w:rPr>
        <w:t>» дополнить полем следующего содержания:</w:t>
      </w:r>
    </w:p>
    <w:p w14:paraId="74000000">
      <w:pPr>
        <w:pStyle w:val="Style_2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«Повторный технический осмотр провести до: </w:t>
      </w:r>
      <w:r>
        <w:rPr>
          <w:rFonts w:ascii="Symbol" w:hAnsi="Symbol"/>
          <w:color w:val="000000"/>
          <w:sz w:val="28"/>
        </w:rPr>
        <w:t></w:t>
      </w:r>
      <w:r>
        <w:rPr>
          <w:rFonts w:ascii="Times New Roman" w:hAnsi="Times New Roman"/>
          <w:color w:val="000000"/>
          <w:sz w:val="28"/>
        </w:rPr>
        <w:t>».</w:t>
      </w:r>
    </w:p>
    <w:sectPr>
      <w:headerReference r:id="rId1" w:type="default"/>
      <w:type w:val="nextPage"/>
      <w:pgSz w:h="16838" w:w="11906"/>
      <w:pgMar w:bottom="851" w:footer="0" w:gutter="0" w:header="709" w:left="1559" w:right="1276" w:top="993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end"/>
    </w:r>
  </w:p>
  <w:p xmlns:p1="http://schemas.microsoft.com/office/word/2010/wordml" p1:paraId="01000000">
    <w:pPr>
      <w:pStyle w:val="Style_1"/>
      <w:ind/>
      <w:jc w:val="center"/>
    </w:pPr>
  </w:p>
</w:hdr>
</file>

<file path=word/settings.xml><?xml version="1.0" encoding="utf-8"?>
<w:settings xmlns:w="http://schemas.openxmlformats.org/wordprocessingml/2006/main"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709" w:left="0"/>
      <w:jc w:val="left"/>
    </w:pPr>
    <w:rPr>
      <w:rFonts w:asciiTheme="minorAscii"/>
      <w:color w:val="000000"/>
      <w:sz w:val="22"/>
    </w:rPr>
  </w:style>
  <w:style w:default="1" w:styleId="Style_2_ch" w:type="character">
    <w:name w:val="Normal"/>
    <w:link w:val="Style_2"/>
    <w:rPr>
      <w:rFonts w:asciiTheme="minorAscii"/>
      <w:color w:val="000000"/>
      <w:sz w:val="22"/>
    </w:rPr>
  </w:style>
  <w:style w:styleId="Style_10" w:type="paragraph">
    <w:name w:val="toc 2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Нормальный (таблица)"/>
    <w:basedOn w:val="Style_2"/>
    <w:next w:val="Style_2"/>
    <w:link w:val="Style_14_ch"/>
    <w:pPr>
      <w:widowControl w:val="0"/>
      <w:ind w:firstLine="0" w:left="0"/>
      <w:jc w:val="both"/>
    </w:pPr>
    <w:rPr>
      <w:rFonts w:ascii="Times New Roman CYR" w:hAnsi="Times New Roman CYR"/>
      <w:sz w:val="24"/>
    </w:rPr>
  </w:style>
  <w:style w:styleId="Style_14_ch" w:type="character">
    <w:name w:val="Нормальный (таблица)"/>
    <w:basedOn w:val="Style_2_ch"/>
    <w:link w:val="Style_14"/>
    <w:rPr>
      <w:rFonts w:ascii="Times New Roman CYR" w:hAnsi="Times New Roman CYR"/>
      <w:sz w:val="24"/>
    </w:rPr>
  </w:style>
  <w:style w:styleId="Style_15" w:type="paragraph">
    <w:name w:val="Привязка сноски"/>
    <w:link w:val="Style_15_ch"/>
    <w:rPr>
      <w:vertAlign w:val="superscript"/>
    </w:rPr>
  </w:style>
  <w:style w:styleId="Style_15_ch" w:type="character">
    <w:name w:val="Привязка сноски"/>
    <w:link w:val="Style_15"/>
    <w:rPr>
      <w:vertAlign w:val="superscript"/>
    </w:rPr>
  </w:style>
  <w:style w:styleId="Style_16" w:type="paragraph">
    <w:name w:val="annotation reference"/>
    <w:basedOn w:val="Style_17"/>
    <w:link w:val="Style_16_ch"/>
    <w:rPr>
      <w:sz w:val="16"/>
    </w:rPr>
  </w:style>
  <w:style w:styleId="Style_16_ch" w:type="character">
    <w:name w:val="annotation reference"/>
    <w:basedOn w:val="Style_17_ch"/>
    <w:link w:val="Style_16"/>
    <w:rPr>
      <w:sz w:val="16"/>
    </w:rPr>
  </w:style>
  <w:style w:styleId="Style_18" w:type="paragraph">
    <w:name w:val="heading 3"/>
    <w:link w:val="Style_1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8_ch" w:type="character">
    <w:name w:val="heading 3"/>
    <w:link w:val="Style_18"/>
    <w:rPr>
      <w:rFonts w:ascii="XO Thames" w:hAnsi="XO Thames"/>
      <w:b w:val="1"/>
      <w:i w:val="1"/>
      <w:color w:val="000000"/>
    </w:rPr>
  </w:style>
  <w:style w:styleId="Style_19" w:type="paragraph">
    <w:name w:val="Верхний колонтитул Знак"/>
    <w:basedOn w:val="Style_17"/>
    <w:link w:val="Style_19_ch"/>
  </w:style>
  <w:style w:styleId="Style_19_ch" w:type="character">
    <w:name w:val="Верхний колонтитул Знак"/>
    <w:basedOn w:val="Style_17_ch"/>
    <w:link w:val="Style_19"/>
  </w:style>
  <w:style w:styleId="Style_20" w:type="paragraph">
    <w:name w:val="Прижатый влево"/>
    <w:basedOn w:val="Style_2"/>
    <w:next w:val="Style_2"/>
    <w:link w:val="Style_20_ch"/>
    <w:pPr>
      <w:widowControl w:val="0"/>
      <w:ind w:firstLine="0" w:left="0"/>
    </w:pPr>
    <w:rPr>
      <w:rFonts w:ascii="Times New Roman CYR" w:hAnsi="Times New Roman CYR"/>
      <w:sz w:val="24"/>
    </w:rPr>
  </w:style>
  <w:style w:styleId="Style_20_ch" w:type="character">
    <w:name w:val="Прижатый влево"/>
    <w:basedOn w:val="Style_2_ch"/>
    <w:link w:val="Style_20"/>
    <w:rPr>
      <w:rFonts w:ascii="Times New Roman CYR" w:hAnsi="Times New Roman CYR"/>
      <w:sz w:val="24"/>
    </w:rPr>
  </w:style>
  <w:style w:styleId="Style_21" w:type="paragraph">
    <w:name w:val="Содержимое таблицы"/>
    <w:basedOn w:val="Style_2"/>
    <w:link w:val="Style_21_ch"/>
  </w:style>
  <w:style w:styleId="Style_21_ch" w:type="character">
    <w:name w:val="Содержимое таблицы"/>
    <w:basedOn w:val="Style_2_ch"/>
    <w:link w:val="Style_21"/>
  </w:style>
  <w:style w:styleId="Style_7" w:type="paragraph">
    <w:name w:val="Основной текст1"/>
    <w:basedOn w:val="Style_2"/>
    <w:link w:val="Style_7_ch"/>
    <w:pPr>
      <w:widowControl w:val="0"/>
      <w:spacing w:after="720" w:before="0" w:line="240" w:lineRule="auto"/>
      <w:ind w:firstLine="0" w:left="0"/>
      <w:jc w:val="right"/>
    </w:pPr>
    <w:rPr>
      <w:sz w:val="27"/>
    </w:rPr>
  </w:style>
  <w:style w:styleId="Style_7_ch" w:type="character">
    <w:name w:val="Основной текст1"/>
    <w:basedOn w:val="Style_2_ch"/>
    <w:link w:val="Style_7"/>
    <w:rPr>
      <w:sz w:val="27"/>
    </w:rPr>
  </w:style>
  <w:style w:styleId="Style_4" w:type="paragraph">
    <w:name w:val="HTML Preformatted"/>
    <w:basedOn w:val="Style_2"/>
    <w:link w:val="Style_4_ch"/>
    <w:pPr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0"/>
    </w:pPr>
    <w:rPr>
      <w:rFonts w:ascii="Courier New" w:hAnsi="Courier New"/>
      <w:color w:val="000000"/>
      <w:sz w:val="20"/>
    </w:rPr>
  </w:style>
  <w:style w:styleId="Style_4_ch" w:type="character">
    <w:name w:val="HTML Preformatted"/>
    <w:basedOn w:val="Style_2_ch"/>
    <w:link w:val="Style_4"/>
    <w:rPr>
      <w:rFonts w:ascii="Courier New" w:hAnsi="Courier New"/>
      <w:color w:val="000000"/>
      <w:sz w:val="20"/>
    </w:rPr>
  </w:style>
  <w:style w:styleId="Style_22" w:type="paragraph">
    <w:name w:val="Balloon Text"/>
    <w:basedOn w:val="Style_2"/>
    <w:link w:val="Style_22_ch"/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Тема примечания Знак"/>
    <w:basedOn w:val="Style_24"/>
    <w:link w:val="Style_23_ch"/>
    <w:rPr>
      <w:b w:val="1"/>
      <w:sz w:val="20"/>
    </w:rPr>
  </w:style>
  <w:style w:styleId="Style_23_ch" w:type="character">
    <w:name w:val="Тема примечания Знак"/>
    <w:basedOn w:val="Style_24_ch"/>
    <w:link w:val="Style_23"/>
    <w:rPr>
      <w:b w:val="1"/>
      <w:sz w:val="20"/>
    </w:rPr>
  </w:style>
  <w:style w:styleId="Style_25" w:type="paragraph">
    <w:name w:val="Footnote Characters"/>
    <w:basedOn w:val="Style_17"/>
    <w:link w:val="Style_25_ch"/>
    <w:rPr>
      <w:vertAlign w:val="superscript"/>
    </w:rPr>
  </w:style>
  <w:style w:styleId="Style_25_ch" w:type="character">
    <w:name w:val="Footnote Characters"/>
    <w:basedOn w:val="Style_17_ch"/>
    <w:link w:val="Style_25"/>
    <w:rPr>
      <w:vertAlign w:val="superscript"/>
    </w:rPr>
  </w:style>
  <w:style w:styleId="Style_26" w:type="paragraph">
    <w:name w:val="toc 3"/>
    <w:link w:val="Style_26_ch"/>
    <w:uiPriority w:val="39"/>
    <w:pPr>
      <w:ind w:firstLine="0" w:left="400"/>
    </w:pPr>
  </w:style>
  <w:style w:styleId="Style_26_ch" w:type="character">
    <w:name w:val="toc 3"/>
    <w:link w:val="Style_26"/>
  </w:style>
  <w:style w:styleId="Style_6" w:type="paragraph">
    <w:name w:val="ConsPlusNormal"/>
    <w:link w:val="Style_6_ch"/>
    <w:pPr>
      <w:widowControl w:val="0"/>
      <w:ind w:firstLine="0" w:left="0"/>
      <w:jc w:val="left"/>
    </w:pPr>
    <w:rPr>
      <w:rFonts w:asciiTheme="minorAscii"/>
      <w:color w:val="000000"/>
      <w:sz w:val="22"/>
    </w:rPr>
  </w:style>
  <w:style w:styleId="Style_6_ch" w:type="character">
    <w:name w:val="ConsPlusNormal"/>
    <w:link w:val="Style_6"/>
    <w:rPr>
      <w:rFonts w:asciiTheme="minorAscii"/>
      <w:color w:val="000000"/>
      <w:sz w:val="22"/>
    </w:rPr>
  </w:style>
  <w:style w:styleId="Style_8" w:type="paragraph">
    <w:name w:val="Основной текст + 11 pt;Полужирный;Интервал 0 pt"/>
    <w:link w:val="Style_8_ch"/>
    <w:rPr>
      <w:rFonts w:ascii="Times New Roman" w:hAnsi="Times New Roman"/>
      <w:i w:val="0"/>
      <w:caps w:val="0"/>
      <w:smallCaps w:val="0"/>
      <w:color w:val="000000"/>
      <w:spacing w:val="4"/>
      <w:sz w:val="22"/>
      <w:highlight w:val="white"/>
    </w:rPr>
  </w:style>
  <w:style w:styleId="Style_8_ch" w:type="character">
    <w:name w:val="Основной текст + 11 pt;Полужирный;Интервал 0 pt"/>
    <w:link w:val="Style_8"/>
    <w:rPr>
      <w:rFonts w:ascii="Times New Roman" w:hAnsi="Times New Roman"/>
      <w:i w:val="0"/>
      <w:caps w:val="0"/>
      <w:smallCaps w:val="0"/>
      <w:color w:val="000000"/>
      <w:spacing w:val="4"/>
      <w:sz w:val="22"/>
      <w:highlight w:val="white"/>
    </w:rPr>
  </w:style>
  <w:style w:styleId="Style_27" w:type="paragraph">
    <w:name w:val="heading 5"/>
    <w:link w:val="Style_2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z w:val="22"/>
    </w:rPr>
  </w:style>
  <w:style w:styleId="Style_24" w:type="paragraph">
    <w:name w:val="Текст примечания Знак"/>
    <w:basedOn w:val="Style_17"/>
    <w:link w:val="Style_24_ch"/>
    <w:rPr>
      <w:sz w:val="20"/>
    </w:rPr>
  </w:style>
  <w:style w:styleId="Style_24_ch" w:type="character">
    <w:name w:val="Текст примечания Знак"/>
    <w:basedOn w:val="Style_17_ch"/>
    <w:link w:val="Style_24"/>
    <w:rPr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8" w:type="paragraph">
    <w:name w:val="Footer"/>
    <w:basedOn w:val="Style_2"/>
    <w:link w:val="Style_28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2_ch"/>
    <w:link w:val="Style_28"/>
  </w:style>
  <w:style w:styleId="Style_29" w:type="paragraph">
    <w:name w:val="Заголовок таблицы"/>
    <w:basedOn w:val="Style_21"/>
    <w:link w:val="Style_29_ch"/>
    <w:pPr>
      <w:ind/>
      <w:jc w:val="center"/>
    </w:pPr>
    <w:rPr>
      <w:b w:val="1"/>
    </w:rPr>
  </w:style>
  <w:style w:styleId="Style_29_ch" w:type="character">
    <w:name w:val="Заголовок таблицы"/>
    <w:basedOn w:val="Style_21_ch"/>
    <w:link w:val="Style_29"/>
    <w:rPr>
      <w:b w:val="1"/>
    </w:rPr>
  </w:style>
  <w:style w:styleId="Style_30" w:type="paragraph">
    <w:name w:val="heading 1"/>
    <w:basedOn w:val="Style_2"/>
    <w:next w:val="Style_2"/>
    <w:link w:val="Style_30_ch"/>
    <w:uiPriority w:val="9"/>
    <w:qFormat/>
    <w:pPr>
      <w:widowControl w:val="0"/>
      <w:spacing w:after="108" w:before="108"/>
      <w:ind w:firstLine="0" w:left="0"/>
      <w:jc w:val="center"/>
      <w:outlineLvl w:val="0"/>
    </w:pPr>
    <w:rPr>
      <w:rFonts w:ascii="Times New Roman CYR" w:hAnsi="Times New Roman CYR"/>
      <w:b w:val="1"/>
      <w:color w:val="26282F"/>
      <w:sz w:val="24"/>
    </w:rPr>
  </w:style>
  <w:style w:styleId="Style_30_ch" w:type="character">
    <w:name w:val="heading 1"/>
    <w:basedOn w:val="Style_2_ch"/>
    <w:link w:val="Style_30"/>
    <w:rPr>
      <w:rFonts w:ascii="Times New Roman CYR" w:hAnsi="Times New Roman CYR"/>
      <w:b w:val="1"/>
      <w:color w:val="26282F"/>
      <w:sz w:val="24"/>
    </w:rPr>
  </w:style>
  <w:style w:styleId="Style_31" w:type="paragraph">
    <w:name w:val="Текст выноски Знак"/>
    <w:basedOn w:val="Style_17"/>
    <w:link w:val="Style_31_ch"/>
    <w:rPr>
      <w:rFonts w:ascii="Segoe UI" w:hAnsi="Segoe UI"/>
      <w:sz w:val="18"/>
    </w:rPr>
  </w:style>
  <w:style w:styleId="Style_31_ch" w:type="character">
    <w:name w:val="Текст выноски Знак"/>
    <w:basedOn w:val="Style_17_ch"/>
    <w:link w:val="Style_31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2"/>
    <w:link w:val="Style_33_ch"/>
    <w:rPr>
      <w:sz w:val="20"/>
    </w:rPr>
  </w:style>
  <w:style w:styleId="Style_33_ch" w:type="character">
    <w:name w:val="Footnote"/>
    <w:basedOn w:val="Style_2_ch"/>
    <w:link w:val="Style_33"/>
    <w:rPr>
      <w:sz w:val="20"/>
    </w:rPr>
  </w:style>
  <w:style w:styleId="Style_34" w:type="paragraph">
    <w:name w:val="toc 1"/>
    <w:link w:val="Style_34_ch"/>
    <w:uiPriority w:val="39"/>
    <w:pPr>
      <w:ind w:firstLine="0" w:left="0"/>
    </w:pPr>
    <w:rPr>
      <w:rFonts w:ascii="XO Thames" w:hAnsi="XO Thames"/>
      <w:b w:val="1"/>
    </w:rPr>
  </w:style>
  <w:style w:styleId="Style_34_ch" w:type="character">
    <w:name w:val="toc 1"/>
    <w:link w:val="Style_34"/>
    <w:rPr>
      <w:rFonts w:ascii="XO Thames" w:hAnsi="XO Thames"/>
      <w:b w:val="1"/>
    </w:rPr>
  </w:style>
  <w:style w:styleId="Style_35" w:type="paragraph">
    <w:name w:val="Header and Footer"/>
    <w:link w:val="Style_35_ch"/>
    <w:pPr>
      <w:spacing w:line="360" w:lineRule="auto"/>
      <w:ind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5" w:type="paragraph">
    <w:name w:val="List Paragraph"/>
    <w:basedOn w:val="Style_2"/>
    <w:link w:val="Style_5_ch"/>
    <w:pPr>
      <w:spacing w:after="0" w:before="0"/>
      <w:ind w:firstLine="709" w:left="720"/>
      <w:contextualSpacing w:val="1"/>
    </w:pPr>
  </w:style>
  <w:style w:styleId="Style_5_ch" w:type="character">
    <w:name w:val="List Paragraph"/>
    <w:basedOn w:val="Style_2_ch"/>
    <w:link w:val="Style_5"/>
  </w:style>
  <w:style w:styleId="Style_36" w:type="paragraph">
    <w:name w:val="Заголовок"/>
    <w:basedOn w:val="Style_2"/>
    <w:next w:val="Style_37"/>
    <w:link w:val="Style_36_ch"/>
    <w:pPr>
      <w:keepNext w:val="1"/>
      <w:spacing w:after="120" w:before="240"/>
      <w:ind/>
    </w:pPr>
    <w:rPr>
      <w:rFonts w:ascii="Arial" w:hAnsi="Arial"/>
      <w:sz w:val="28"/>
    </w:rPr>
  </w:style>
  <w:style w:styleId="Style_36_ch" w:type="character">
    <w:name w:val="Заголовок"/>
    <w:basedOn w:val="Style_2_ch"/>
    <w:link w:val="Style_36"/>
    <w:rPr>
      <w:rFonts w:ascii="Arial" w:hAnsi="Arial"/>
      <w:sz w:val="28"/>
    </w:rPr>
  </w:style>
  <w:style w:styleId="Style_38" w:type="paragraph">
    <w:name w:val="Содержимое врезки"/>
    <w:basedOn w:val="Style_2"/>
    <w:link w:val="Style_38_ch"/>
  </w:style>
  <w:style w:styleId="Style_38_ch" w:type="character">
    <w:name w:val="Содержимое врезки"/>
    <w:basedOn w:val="Style_2_ch"/>
    <w:link w:val="Style_38"/>
  </w:style>
  <w:style w:styleId="Style_39" w:type="paragraph">
    <w:name w:val="toc 9"/>
    <w:link w:val="Style_39_ch"/>
    <w:uiPriority w:val="39"/>
    <w:pPr>
      <w:ind w:firstLine="0" w:left="1600"/>
    </w:pPr>
  </w:style>
  <w:style w:styleId="Style_39_ch" w:type="character">
    <w:name w:val="toc 9"/>
    <w:link w:val="Style_39"/>
  </w:style>
  <w:style w:styleId="Style_40" w:type="paragraph">
    <w:name w:val="Указатель"/>
    <w:basedOn w:val="Style_2"/>
    <w:link w:val="Style_40_ch"/>
  </w:style>
  <w:style w:styleId="Style_40_ch" w:type="character">
    <w:name w:val="Указатель"/>
    <w:basedOn w:val="Style_2_ch"/>
    <w:link w:val="Style_40"/>
  </w:style>
  <w:style w:styleId="Style_41" w:type="paragraph">
    <w:name w:val="Caption"/>
    <w:basedOn w:val="Style_2"/>
    <w:link w:val="Style_41_ch"/>
    <w:pPr>
      <w:spacing w:after="120" w:before="120"/>
      <w:ind/>
    </w:pPr>
    <w:rPr>
      <w:i w:val="1"/>
      <w:sz w:val="24"/>
    </w:rPr>
  </w:style>
  <w:style w:styleId="Style_41_ch" w:type="character">
    <w:name w:val="Caption"/>
    <w:basedOn w:val="Style_2_ch"/>
    <w:link w:val="Style_41"/>
    <w:rPr>
      <w:i w:val="1"/>
      <w:sz w:val="24"/>
    </w:rPr>
  </w:style>
  <w:style w:styleId="Style_42" w:type="paragraph">
    <w:name w:val="toc 8"/>
    <w:link w:val="Style_42_ch"/>
    <w:uiPriority w:val="39"/>
    <w:pPr>
      <w:ind w:firstLine="0" w:left="1400"/>
    </w:pPr>
  </w:style>
  <w:style w:styleId="Style_42_ch" w:type="character">
    <w:name w:val="toc 8"/>
    <w:link w:val="Style_42"/>
  </w:style>
  <w:style w:styleId="Style_43" w:type="paragraph">
    <w:name w:val="Стандартный HTML Знак"/>
    <w:basedOn w:val="Style_17"/>
    <w:link w:val="Style_43_ch"/>
    <w:rPr>
      <w:rFonts w:ascii="Courier New" w:hAnsi="Courier New"/>
      <w:color w:val="000000"/>
      <w:sz w:val="20"/>
    </w:rPr>
  </w:style>
  <w:style w:styleId="Style_43_ch" w:type="character">
    <w:name w:val="Стандартный HTML Знак"/>
    <w:basedOn w:val="Style_17_ch"/>
    <w:link w:val="Style_43"/>
    <w:rPr>
      <w:rFonts w:ascii="Courier New" w:hAnsi="Courier New"/>
      <w:color w:val="000000"/>
      <w:sz w:val="20"/>
    </w:rPr>
  </w:style>
  <w:style w:styleId="Style_44" w:type="paragraph">
    <w:name w:val="Основной текст + 12 pt;Интервал 0 pt"/>
    <w:link w:val="Style_44_ch"/>
    <w:rPr>
      <w:rFonts w:ascii="Times New Roman" w:hAnsi="Times New Roman"/>
      <w:i w:val="0"/>
      <w:caps w:val="0"/>
      <w:smallCaps w:val="0"/>
      <w:color w:val="000000"/>
      <w:spacing w:val="10"/>
      <w:sz w:val="24"/>
      <w:highlight w:val="white"/>
    </w:rPr>
  </w:style>
  <w:style w:styleId="Style_44_ch" w:type="character">
    <w:name w:val="Основной текст + 12 pt;Интервал 0 pt"/>
    <w:link w:val="Style_44"/>
    <w:rPr>
      <w:rFonts w:ascii="Times New Roman" w:hAnsi="Times New Roman"/>
      <w:i w:val="0"/>
      <w:caps w:val="0"/>
      <w:smallCaps w:val="0"/>
      <w:color w:val="000000"/>
      <w:spacing w:val="10"/>
      <w:sz w:val="24"/>
      <w:highlight w:val="white"/>
    </w:rPr>
  </w:style>
  <w:style w:styleId="Style_45" w:type="paragraph">
    <w:name w:val="toc 5"/>
    <w:link w:val="Style_45_ch"/>
    <w:uiPriority w:val="39"/>
    <w:pPr>
      <w:ind w:firstLine="0" w:left="800"/>
    </w:pPr>
  </w:style>
  <w:style w:styleId="Style_45_ch" w:type="character">
    <w:name w:val="toc 5"/>
    <w:link w:val="Style_45"/>
  </w:style>
  <w:style w:styleId="Style_46" w:type="paragraph">
    <w:name w:val="annotation text"/>
    <w:basedOn w:val="Style_2"/>
    <w:link w:val="Style_46_ch"/>
    <w:rPr>
      <w:sz w:val="20"/>
    </w:rPr>
  </w:style>
  <w:style w:styleId="Style_46_ch" w:type="character">
    <w:name w:val="annotation text"/>
    <w:basedOn w:val="Style_2_ch"/>
    <w:link w:val="Style_46"/>
    <w:rPr>
      <w:sz w:val="20"/>
    </w:rPr>
  </w:style>
  <w:style w:styleId="Style_47" w:type="paragraph">
    <w:name w:val="Нижний колонтитул Знак"/>
    <w:basedOn w:val="Style_17"/>
    <w:link w:val="Style_47_ch"/>
  </w:style>
  <w:style w:styleId="Style_47_ch" w:type="character">
    <w:name w:val="Нижний колонтитул Знак"/>
    <w:basedOn w:val="Style_17_ch"/>
    <w:link w:val="Style_47"/>
  </w:style>
  <w:style w:styleId="Style_37" w:type="paragraph">
    <w:name w:val="Body Text"/>
    <w:basedOn w:val="Style_2"/>
    <w:link w:val="Style_37_ch"/>
    <w:pPr>
      <w:spacing w:after="140" w:before="0" w:line="276" w:lineRule="auto"/>
      <w:ind/>
    </w:pPr>
  </w:style>
  <w:style w:styleId="Style_37_ch" w:type="character">
    <w:name w:val="Body Text"/>
    <w:basedOn w:val="Style_2_ch"/>
    <w:link w:val="Style_37"/>
  </w:style>
  <w:style w:styleId="Style_48" w:type="paragraph">
    <w:name w:val="annotation subject"/>
    <w:basedOn w:val="Style_46"/>
    <w:next w:val="Style_46"/>
    <w:link w:val="Style_48_ch"/>
    <w:rPr>
      <w:b w:val="1"/>
    </w:rPr>
  </w:style>
  <w:style w:styleId="Style_48_ch" w:type="character">
    <w:name w:val="annotation subject"/>
    <w:basedOn w:val="Style_46_ch"/>
    <w:link w:val="Style_48"/>
    <w:rPr>
      <w:b w:val="1"/>
    </w:rPr>
  </w:style>
  <w:style w:styleId="Style_49" w:type="paragraph">
    <w:name w:val="Subtitle"/>
    <w:link w:val="Style_49_ch"/>
    <w:uiPriority w:val="11"/>
    <w:qFormat/>
    <w:rPr>
      <w:rFonts w:ascii="XO Thames" w:hAnsi="XO Thames"/>
      <w:i w:val="1"/>
      <w:color w:val="616161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616161"/>
      <w:sz w:val="24"/>
    </w:rPr>
  </w:style>
  <w:style w:styleId="Style_50" w:type="paragraph">
    <w:name w:val="List"/>
    <w:basedOn w:val="Style_37"/>
    <w:link w:val="Style_50_ch"/>
  </w:style>
  <w:style w:styleId="Style_50_ch" w:type="character">
    <w:name w:val="List"/>
    <w:basedOn w:val="Style_37_ch"/>
    <w:link w:val="Style_50"/>
  </w:style>
  <w:style w:styleId="Style_51" w:type="paragraph">
    <w:name w:val="toc 10"/>
    <w:link w:val="Style_51_ch"/>
    <w:uiPriority w:val="39"/>
    <w:pPr>
      <w:ind w:firstLine="0" w:left="1800"/>
    </w:pPr>
  </w:style>
  <w:style w:styleId="Style_51_ch" w:type="character">
    <w:name w:val="toc 10"/>
    <w:link w:val="Style_51"/>
  </w:style>
  <w:style w:styleId="Style_52" w:type="paragraph">
    <w:name w:val="Title"/>
    <w:link w:val="Style_52_ch"/>
    <w:uiPriority w:val="10"/>
    <w:qFormat/>
    <w:rPr>
      <w:rFonts w:ascii="XO Thames" w:hAnsi="XO Thames"/>
      <w:b w:val="1"/>
      <w:sz w:val="52"/>
    </w:rPr>
  </w:style>
  <w:style w:styleId="Style_52_ch" w:type="character">
    <w:name w:val="Title"/>
    <w:link w:val="Style_52"/>
    <w:rPr>
      <w:rFonts w:ascii="XO Thames" w:hAnsi="XO Thames"/>
      <w:b w:val="1"/>
      <w:sz w:val="52"/>
    </w:rPr>
  </w:style>
  <w:style w:styleId="Style_53" w:type="paragraph">
    <w:name w:val="heading 4"/>
    <w:link w:val="Style_5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3_ch" w:type="character">
    <w:name w:val="heading 4"/>
    <w:link w:val="Style_53"/>
    <w:rPr>
      <w:rFonts w:ascii="XO Thames" w:hAnsi="XO Thames"/>
      <w:b w:val="1"/>
      <w:color w:val="595959"/>
      <w:sz w:val="26"/>
    </w:rPr>
  </w:style>
  <w:style w:styleId="Style_54" w:type="paragraph">
    <w:name w:val="heading 2"/>
    <w:link w:val="Style_5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4_ch" w:type="character">
    <w:name w:val="heading 2"/>
    <w:link w:val="Style_54"/>
    <w:rPr>
      <w:rFonts w:ascii="XO Thames" w:hAnsi="XO Thames"/>
      <w:b w:val="1"/>
      <w:color w:val="00A0FF"/>
      <w:sz w:val="26"/>
    </w:rPr>
  </w:style>
  <w:style w:styleId="Style_55" w:type="paragraph">
    <w:name w:val="Текст сноски Знак"/>
    <w:basedOn w:val="Style_17"/>
    <w:link w:val="Style_55_ch"/>
    <w:rPr>
      <w:sz w:val="20"/>
    </w:rPr>
  </w:style>
  <w:style w:styleId="Style_55_ch" w:type="character">
    <w:name w:val="Текст сноски Знак"/>
    <w:basedOn w:val="Style_17_ch"/>
    <w:link w:val="Style_55"/>
    <w:rPr>
      <w:sz w:val="20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